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sz w:val="36"/>
          <w:szCs w:val="36"/>
          <w:lang w:val="en-US" w:eastAsia="zh-CN"/>
        </w:rPr>
      </w:pPr>
      <w:bookmarkStart w:id="0" w:name="_GoBack"/>
      <w:bookmarkEnd w:id="0"/>
      <w:r>
        <w:rPr>
          <w:rFonts w:hint="eastAsia" w:ascii="宋体" w:hAnsi="宋体" w:eastAsia="宋体" w:cs="宋体"/>
          <w:b/>
          <w:bCs/>
          <w:sz w:val="36"/>
          <w:szCs w:val="36"/>
          <w:lang w:val="en-US" w:eastAsia="zh-CN"/>
        </w:rPr>
        <w:t>比选要求文件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项目名称：疾控应急指挥移动端服务与疾控数据仓储开发服务</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项目编号：HBD20260127-01</w:t>
      </w:r>
    </w:p>
    <w:p>
      <w:pPr>
        <w:pStyle w:val="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交货时间：2026年5月30日前</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交货地点：采购人指定地点。</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预算金额：1535000元</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采购需求</w:t>
      </w:r>
    </w:p>
    <w:tbl>
      <w:tblPr>
        <w:tblStyle w:val="9"/>
        <w:tblW w:w="9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8005"/>
      </w:tblGrid>
      <w:tr>
        <w:trPr>
          <w:trHeight w:val="720" w:hRule="atLeast"/>
          <w:jc w:val="center"/>
        </w:trPr>
        <w:tc>
          <w:tcPr>
            <w:tcW w:w="9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功能清单与建设内容</w:t>
            </w:r>
          </w:p>
        </w:tc>
      </w:tr>
      <w:tr>
        <w:trPr>
          <w:trHeight w:val="720"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移动端平台服务</w:t>
            </w: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可以通过移动设备对样品进行现场标记，如拍照、录制视频等。这些现场标记可以帮助用户记录样品的外观特征、采集环境等信息，以便后续分析和鉴定；提供添加文字描述、标记或绘图等功能，以记录样品的外观特征、采集环境等重要信息。</w:t>
            </w:r>
          </w:p>
        </w:tc>
      </w:tr>
      <w:tr>
        <w:trPr>
          <w:trHeight w:val="120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采样需要实时记录数据。移动应用程序提供实时数据采集的功能，确保用户可以及时记录现场的数据，而无需等到后续处理；在数据填写界面或表格中集成自动计算功能，根据预设的计算公式或规则，实时对填写的数据进行计算，并显示计算结果。这样可以减少用户手动计算的时间和错误，提高数据采集的效率和准确性。对用户填写的数据进行实时验证和校验，确保数据的合法性和准确性。</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用户界面，允许用户输入各种环境参数，如温度、湿度、气压、光照强度等。为不同类型的参数提供合适的输入方式，如数字输入框、滑块条、选择器等，以便用户能够方便地录入数据。支持填写点位信息：填写不定点位，额定点位数据录入，支持现场仪器设备信息选择</w:t>
            </w:r>
          </w:p>
        </w:tc>
      </w:tr>
      <w:tr>
        <w:trPr>
          <w:trHeight w:val="4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允许用户通过文本输入框或选项选择器描述样品采集现场的环境条件，如天气情况、空气质量、地形地貌等。</w:t>
            </w:r>
          </w:p>
        </w:tc>
      </w:tr>
      <w:tr>
        <w:trPr>
          <w:trHeight w:val="4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提供预设的环境条件选项，以便用户能够快速选择或参考。</w:t>
            </w:r>
          </w:p>
        </w:tc>
      </w:tr>
      <w:tr>
        <w:trPr>
          <w:trHeight w:val="9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简洁清晰的界面，采用直观的操作流程和符合人性化的布局，让用户能够快速理解如何进行签名操作。允许用户根据自己的喜好和习惯，选择使用手指、触摸笔或其他输入设备进行签名，提供灵活性和便利性。</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将签名信息与填写的现场数据进行关联，确保每条数据都有对应的签名信息。将签名数据和相关的现场数据一起存储在数据库中，建立完整的数据记录。</w:t>
            </w:r>
          </w:p>
        </w:tc>
      </w:tr>
      <w:tr>
        <w:trPr>
          <w:trHeight w:val="4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数据填写界面支持电子签名功能，可以显示签名者的电子签名图像或样式，以模拟纸质签名的效果。</w:t>
            </w:r>
          </w:p>
        </w:tc>
      </w:tr>
      <w:tr>
        <w:trPr>
          <w:trHeight w:val="288"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系统移动端提供了专门的移动应用程序，可以在手机或平板上安装和运行。这样实验室工作人员可以随身携带移动设备，随时随地进行数据采集和提交。用户在移动端填写完数据后，可以通过移动设备直接将数据提交到实验室系统中。系统支持实时数据同步，确保数据能够即时上传到服务器，并在系统中进行存储和管理。</w:t>
            </w:r>
          </w:p>
        </w:tc>
      </w:tr>
      <w:tr>
        <w:trPr>
          <w:trHeight w:val="312"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移动端应急作业系统允许管理员或指挥中心将消杀任务派发给相应的工作人员。工作人员通过移动端应用接收任务通知，并可以查看任务详情、要求和相关信息。</w:t>
            </w:r>
          </w:p>
        </w:tc>
      </w:tr>
      <w:tr>
        <w:trPr>
          <w:trHeight w:val="312"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rPr>
          <w:trHeight w:val="93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工作人员可以在移动应用中查看自己被分配的消杀任务，并进行任务计划和调度。他们可以查看任务的执行时间、地点和相关要求，合理安排工作时间和路线。</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在执行消杀任务过程中，工作人员可以使用移动应用记录任务执行情况。他们可以记录消杀的时间、地点、消杀剂使用情况、消杀效果等相关信息，并可拍摄照片作为任务执行的证据。</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移动端应急作业系统允许管理员或指挥中心制定演练任务计划，并通过移动应用发布给参与演练的相关人员。演练任务可以包括模拟突发事件的处理、紧急救援行动等。</w:t>
            </w:r>
          </w:p>
        </w:tc>
      </w:tr>
      <w:tr>
        <w:trPr>
          <w:trHeight w:val="120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相关人员可以通过移动应用查看演练任务的详细信息，包括任务内容、演练时间、地点、参与人员等，并确认自己的参与意愿和能力。可以在移动应用中确认参与演练任务，并获取相关资料和准备工作。</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在演练任务执行过程中，参与人员可以使用移动应用记录演练的具体情况和执行过程。他们可以记录演练的时间、地点、参与人员表现等相关信息，并拍摄照片或视频作为演练执行的记录和证据。</w:t>
            </w:r>
          </w:p>
        </w:tc>
      </w:tr>
      <w:tr>
        <w:trPr>
          <w:trHeight w:val="9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移动端应急作业系统可以通过GPS定位功能实时跟踪参与人员的位置，并支持实时通讯功能。这有助于指挥中心了解参与人员的实时位置及沟通交流，确保演练任务的顺利进行和安全执行。</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参与人员可以在移动应用中对演练任务进行评估和反馈。他们可以提交演练执行的情况报告，包括演练效果、存在的问题和建议改进等，以便后续演练任务的优化和改进。</w:t>
            </w:r>
          </w:p>
        </w:tc>
      </w:tr>
      <w:tr>
        <w:trPr>
          <w:trHeight w:val="864"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管理员可以在移动端创建新的流调任务，并指派给特定的应急响应团队或个人。任务可以包括流调地点、时间、任务类型（如疫情、自然灾害等）、任务描述等信息。</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应急响应团队成员可以在移动端接收到指派的流调任务，并查看任务详情，包括任务要求、地点、时间等信息。</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移动端可以使用定位功能，帮助流调人员准确到达指定的流调地点。集成导航功能，为流调人员提供路线规划和导航服务，以确保他们能够快速、安全地抵达任务地点。</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流调人员可以使用移动端应用收集现场信息，包括图片、视频、文字描述等，并将其上传到系统中进行记录和分析。可以使用移动端应用填写流调问卷或调查表格，收集相关数据。</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移动端应用可以支持实时通讯和协作功能，让流调人员之间可以随时交流信息、协调行动。可以在移动端应用中建立任务相关的讨论组或群组，方便团队成员之间讨论问题、分享信息。</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应急处置任务可以由系统管理员通过移动端应用发布，包括任务描述、紧急程度、地点等信息，待命的处置人员可以及时接收到任务通知并进行响应</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处置人员在接收到任务后，可以查看任务详情，包括任务描述、地点、相关资源等信息，并通过地图定位功能快速了解任务地点的位置和周边环境</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处置人员可以在应用中实时反馈任务处理进展，包括问题、进度和需求，同时系统管理员可以通过移动端实时跟踪任务进度并做出相应调整</w:t>
            </w:r>
          </w:p>
        </w:tc>
      </w:tr>
      <w:tr>
        <w:trPr>
          <w:trHeight w:val="4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系统会记录每个应急处置任务的处理历史，包括任务发布时间、处理人员、处理进展等信息，以便进行事后总结和经验积累</w:t>
            </w:r>
          </w:p>
        </w:tc>
      </w:tr>
      <w:tr>
        <w:trPr>
          <w:trHeight w:val="16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移动端填写报告单位/住址、报告人、联系电话、报告时间、报告事件名称、事件类别、事件或疫情发生时间、单位、地点（如为急性职业中毒，询问企业名称、责任人及联系电话）、病人基本情况（含联系方式）、病人就诊或所处地点、病人就诊或所处地点、发生病人数、主要波及范围、病情严重程度、住院（人数）、死亡（人数）、如涉及多人，询问第一例就诊时间、如涉及多人，询问第一例就诊时间。</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通过移动端填写来电人、来电时间、来电号码、来源单位、事发地点、事件类别、主题、来电内容、处理建议、附件、填写人、填写时间。</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通过移动端填写发送人、发送人、来源单位、事发地点、事件类别、主题、来电内容、处理建议、附件、填写人、填写时间。</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通过移动端发送人、发送人、来源单位、事发地点、事件类别、主题、来电内容、处理建议、附件、填写人、填写时间。</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通过移动端发送人、发送人、来源单位、事发地点、事件类别、主题、来电内容、处理建议、附件、填写人、填写时间。</w:t>
            </w:r>
          </w:p>
        </w:tc>
      </w:tr>
      <w:tr>
        <w:trPr>
          <w:trHeight w:val="120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评审任务完成后，督导人员可以在移动端应用上将填写的评分和结果进行汇总，并提交给管理人员，在提交之前，应用可以对填写的评分和结果进行数据校验，确保评审表格完整且符合要求，提交前，应用会提示用户确认提交操作，以防止意外提交或误操作</w:t>
            </w:r>
          </w:p>
        </w:tc>
      </w:tr>
      <w:tr>
        <w:trPr>
          <w:trHeight w:val="23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申请人选择需要入库的数据，在移动端填写入库时间、入库原因、所属仓库、入库物资数量、入库物资信息然后保存提交。</w:t>
            </w:r>
          </w:p>
        </w:tc>
      </w:tr>
      <w:tr>
        <w:trPr>
          <w:trHeight w:val="513"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申请人选择需要退货出库的数据，在移动端填写退货出库时间、退货出库原因、所属仓库、退货出库物资数量、退货出库物资信息然后保存提交。</w:t>
            </w:r>
          </w:p>
        </w:tc>
      </w:tr>
      <w:tr>
        <w:trPr>
          <w:trHeight w:val="949"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申请人选择需要物资领用的数据，在移动端填写物资领用时间、物资领用原因、所属仓库、领用物资数量、领用物资信息然后保存提交。</w:t>
            </w:r>
          </w:p>
        </w:tc>
      </w:tr>
      <w:tr>
        <w:trPr>
          <w:trHeight w:val="949"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申请人选择需要物资归还的数据，在移动端填写物资归还时间、物资归还原因、所属仓库、归还物资数量、归还物资信息然后保存提交。</w:t>
            </w:r>
          </w:p>
        </w:tc>
      </w:tr>
      <w:tr>
        <w:trPr>
          <w:trHeight w:val="538"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仓库管理员通过手持终端对仓库内的物资盘点，盘点完成后提交到服务器。</w:t>
            </w:r>
          </w:p>
        </w:tc>
      </w:tr>
      <w:tr>
        <w:trPr>
          <w:trHeight w:val="144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通过移动设备接收督导任务通知，包括任务描述、指派人员、截止日期等信息。用户可以在移动应用中查看任务详情，并确认接收任务，确保任务分配的及时性和准确性。通过移动端推送通知，向相关人员发送督导任务，包括任务内容、截止时间等信息，以便及时响应和处理。比如在移动端提供任务列表和详情页面，显示每个督导任务的具体要求、相关文件或资料，方便用户了解任务内容和执行步骤。用户可以在移动端确认接收督导任务，确保任务分配清晰明确，避免漏接任务或误解任务内容</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在移动应用中填写督导结果，记录督导过程中的观察、发现的问题、提出的建议等内容。用户可以通过文本输入、多媒体上传等方式将督导结果记录在移动应用中，并在完成后提交给主管或相关人员进行审阅或进一步处理</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通过移动设备接收待整改项目的通知，了解待整改项目的相关信息，如项目名称、问题描述、整改要求等。在移动应用中，用户可以查看待整改项目的列表或详细信息，以便及时了解需要进行整改的内容和要求。支持高级查询待整改内容。系统支持查看待整改信息的全部流程信息包括处理时间处理人</w:t>
            </w:r>
          </w:p>
        </w:tc>
      </w:tr>
      <w:tr>
        <w:trPr>
          <w:trHeight w:val="120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在移动设备上执行整改任务，根据待整改项目的要求逐项进行整改。用户可以在移动应用中记录整改过程，并上传整改结果的相关资料或图片，以便主管或相关人员审核。完成整改后，用户可以在移动应用中标记整改项目为已完成，确保整改工作的及时性和质量</w:t>
            </w:r>
          </w:p>
        </w:tc>
      </w:tr>
      <w:tr>
        <w:trPr>
          <w:trHeight w:val="4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支持通过移动端实时查询项目进度，在移动端上进行任务分配，支持项目文档的上传、下载和共享。按照项目名称、任务名称及时间段进行查询项目进度。</w:t>
            </w:r>
          </w:p>
        </w:tc>
      </w:tr>
      <w:tr>
        <w:trPr>
          <w:trHeight w:val="4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支持在移动端录入研究成果，包括论文、专利、软件著作权等。</w:t>
            </w:r>
          </w:p>
        </w:tc>
      </w:tr>
      <w:tr>
        <w:trPr>
          <w:trHeight w:val="48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支持通过移动端实时推送项目进展、成果发布、通知公告等信息，确保科研人员及时了解项目动态。比如成果名称、时间段查询项目进展。</w:t>
            </w:r>
          </w:p>
        </w:tc>
      </w:tr>
      <w:tr>
        <w:trPr>
          <w:trHeight w:val="27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提供培训管理终端用户注册、用户信息修改、培训计划查看、提供用户终端查看培训课时、学分内容</w:t>
            </w:r>
          </w:p>
        </w:tc>
      </w:tr>
      <w:tr>
        <w:trPr>
          <w:trHeight w:val="960"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数据仓储</w:t>
            </w: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实现对高致病性微生物全过程追溯管理系统中对应的样品信息按照各类别进行分类管理，并支持导出excel文件。与其他系统对接。</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实现对高致病性微生物全过程追溯管理系统中对应的检测结果按照各类别进行分类管理，并支持导出excel文件。支持与其他系统的集成对接。</w:t>
            </w:r>
          </w:p>
        </w:tc>
      </w:tr>
      <w:tr>
        <w:trPr>
          <w:trHeight w:val="35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实现对高致病性微生物全过程追溯管理系统中对应的原始记录模板、检测项目、评价标准进行存储，后续可再此处查阅历史更新的记录，并支持导出excel文件。支持与其他系统的集成对接。</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实现对高致病性微生物全过程追溯管理系统中仪器设备所使用的记录进行存储，并支持导出excel文件。支持与其他系统的集成对接。</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实现对高致病性微生物全过程追溯管理系统中仪器设备所形成检定/维修/保养记录进行存储，并支持导出excel文件。与其他系统集成。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实现对高致病性微生物全过程追溯管理系统中仪器设备对应的基础信息进行存储，并支持导出excel文件，并与其他系统集成。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实现对高致病性微生物全过程追溯管理系统中标准品对应的实时库存息进行存储，并支持导出excel，与其他系统集成。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实现对高致病性微生物全过程追溯管理系统中标准品对应的基础信息进行存储，并支持导出excel文件，与其他系统集成。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实现对高致病性微生物全过程追溯管理系统中检验试剂对应的实时库存息进行存储，并支持导出excel，与其他系统集成。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实现对高致病性微生物全过程追溯管理系统中检验试剂对应的基础信息进行存储，并支持导出excel文件，与其他系统集成。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实现对高致病性微生物全过程追溯管理系统中检验耗材对应的实时库存息进行存储，并支持导出excel文件，与其他系统集成。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实现对高致病性微生物全过程追溯管理系统中检验耗材对应的基础信息进行存储，并支持导出excel文件，与其他系统集成。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实现对高致病性微生物全过程追溯管理系统中标准菌株对应的实时库存息进行存储，并支持导出excel文件，与其他系统集成。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实现对高致病性微生物全过程追溯管理系统中标准菌株对应的基础信息进行存储，并支持导出excel文件，与其他系统集成。</w:t>
            </w:r>
          </w:p>
        </w:tc>
      </w:tr>
      <w:tr>
        <w:trPr>
          <w:trHeight w:val="9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实现将质量体系中所涉及的功能模块中所有上传的文件进行统一管理，便于后续查找，无需根据功能模块进行查找，并支持将数据导出Excel文件，并与其他系统集成。</w:t>
            </w:r>
          </w:p>
        </w:tc>
      </w:tr>
      <w:tr>
        <w:trPr>
          <w:trHeight w:val="72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实现文件的浏览、下载、检索操作功能。</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实现与职业卫生监测管理中技术支撑人员信息库进行统一集成管理，与业务系统的数据进行拆分，便于后续的数据分析，并支持对技术支撑人员信息库导出功能excel文件，并与其他系统集成。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实现与职业卫生监测管理中职业卫生技术服务仪器信息库进行统一集成管理，与业务系统的数据进行拆分，便于后续的数据分析，并支持对职业卫生技术服务仪器信息库导出excel文件，并与其他系统集成。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实现与业卫生监测管理中职业卫生技术服务机构库进行统一管理，与业务系统的数据进行拆分，便于后续的数据分析，并支持对职业卫生技术服务机构库导出excel文件功能，与其他系统集成。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实现与业卫生监测管理中专业技术人员培训库进行统一管理，与业务系统的数据进行拆分，便于后续的数据分析，并支持对专业技术人员培训库导出excel文件功能，与其他系统集成。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实现与业卫生监测管理中技术支撑机构基本信息管理进行统一管理，与业务系统的数据进行拆分，便于后续的数据分析，并支持对技术支撑机构基本信息管理导出excel文件功能，并与其他系统集成。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将职业卫生监测管理中尘肺病患者库进行统一管理，与业务系统的数据进行拆分，便于后续的数据分析，并支持对尘肺病患者库导出excel文件功能，并与其他系统集成。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将职业卫生监测管理中职业体检员工体检记录库进行统一管理，与业务系统的数据进行拆分，便于后续的数据分析，并支持对职业体检员工体检记录库导出excel文件功能，并与其他系统集成。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实现对物资管理系统中各类物资对应的实时物资基本信息进行存储，并支持导出excel文件，并与其他系统集成。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实现对物资管理系统中各类物资对应的库存信息进行存储，并支持导出excel文件，并与其他系统集成。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实现对物资管理系统中各类物资对应的库存有效期信息提醒记录进行存储，并支持导出excel文件，并与其他系统集成。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实现疾病控制督导管理中督导基础数据信息进行统一集成管理，与业务系统的数据进行拆分，便于后续的数据分析，并支持对督导项目、督导接种点等导出EXCEL文件功能，并与其他系统集成。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将疾病控制督导管理中督导整改信息进行统一管理，与业务系统的数据进行拆分，便于后续的数据分析，并支持对督导整改信息导出excel文件功能，并与其他系统集成。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将疾病控制督导管理中督导结果信息进行统一管理，与业务系统的数据进行拆分，便于后续的数据分析，并支持对督导结果信息导出excel文件功能，并与其他系统集成。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将固定资产管理中资产报表进行统一管理，与业务系统的数据进行拆分，便于后续的数据分析，并支持对培训课题导出excel文件功能，并与其他系统集成。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将固定资产管理中科室资产进行统一管理，与业务系统的数据进行拆分，便于后续的数据分析，并支持对培训考核导出excel文件功能，并与其他系统集成。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将固定资产管理中资产分类进行统一管理，与业务系统的数据进行拆分，便于后续的数据分析，并支持对培训题目导出excel文件功能，并与其他系统集成。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将公共卫生健康监测中传染病发病率进行统一管理，与业务系统的数据进行拆分，便于后续的数据分析，并支持对培训课题导出excel文件功能，并与其他系统集成。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将公共卫生健康监测中死因监测信息进行统一管理，与业务系统的数据进行拆分，便于后续的数据分析，并支持对培训课题导出excel文件功能，并与其他系统集成。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将公共卫生健康监测中死因顺位信息进行统一管理，与业务系统的数据进行拆分，便于后续的数据分析，并支持对培训课题导出excel文件功能，并与其他系统集成。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将公共卫生健康监测中居民健康素养信息进行统一管理，与业务系统的数据进行拆分，便于后续的数据分析，并支持对培训课题导出excel文件功能，并与其他系统集成。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将公共卫生健康监测中消毒病媒信息进行统一管理，与业务系统的数据进行拆分，便于后续的数据分析，并支持对培训课题导出excel文件功能，并与其他系统集成。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将公共卫生健康监测中场所监测信息进行统一管理，与业务系统的数据进行拆分，便于后续的数据分析，并支持对培训课题导出excel文件功能，并与其他系统集成。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将公共卫生健康监测中饮水及食品监测信息进行统一管理，与业务系统的数据进行拆分，便于后续的数据分析，并支持对培训课题导出excel文件功能，并与其他系统集成。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将公共卫生健康监测中慢性传染病防治信息进行统一管理，与业务系统的数据进行拆分，便于后续的数据分析，并支持对培训课题导出excel文件功能，并与其他系统集成。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将公共卫生健康监测中慢性病防治进行统一管理，与业务系统的数据进行拆分，便于后续的数据分析，并支持对培训课题导出excel文件功能，并与其他系统集成。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将科研与教育管理中科研立项信息进行统一管理，与业务系统的数据进行拆分，便于后续的数据分析，并支持对培训课题导出excel文件功能，并与其他系统集成。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将科研与教育管理中过程监控信息进行统一管理，与业务系统的数据进行拆分，便于后续的数据分析，并支持对培训课题导出excel文件功能，并与其他系统集成。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将科研与教育管理中阶段报告信息进行统一管理，与业务系统的数据进行拆分，便于后续的数据分析，并支持对培训课题导出excel文件功能，并与其他系统集成。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将科研与教育管理中科研档案信息进行统一管理，与业务系统的数据进行拆分，便于后续的数据分析，并支持对培训课题导出excel文件功能，并与其他系统集成。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将科研与教育管理中项目结题信息进行统一管理，与业务系统的数据进行拆分，便于后续的数据分析，并支持对培训课题导出excel文件功能，并与其他系统集成。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将应急指挥调度综合管理中应急指挥信息进行统一管理，与业务系统的数据进行拆分，便于后续的数据分析，并支持对培训课题导出excel文件功能，并与其他系统集成。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将应急指挥调度综合管理中应急指挥信息进行统一管理，与业务系统的数据进行拆分，便于后续的数据分析，并支持对培训课题导出excel文件功能，并与其他系统集成。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将应急指挥调度综合管理中应急演练信息进行统一管理，与业务系统的数据进行拆分，便于后续的数据分析，并支持对培训课题导出excel文件功能，并与其他系统集成。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将智能化实验室环境中温湿度信息进行统一管理，与业务系统的数据进行拆分，便于后续的数据分析，并支持对人员信息导出excel文件功能，并与其他系统集成。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将智能化实验室环境中空气质量信息进行统一管理，与业务系统的数据进行拆分，便于后续的数据分析，并支持对人员信息导出excel文件功能，并与其他系统集成。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将智能化实验室环境中设备状态信息进行统一管理，与业务系统的数据进行拆分，便于后续的数据分析，并支持对人员信息导出excel文件功能，并与其他系统集成。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将智能化实验室环境中人员活动信息进行统一管理，与业务系统的数据进行拆分，便于后续的数据分析，并支持对人员信息导出excel文件功能，并与其他系统集成。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将应急值守管理中日常值班信息进行统一管理，与业务系统的数据进行拆分，便于后续的数据分析，并支持对人员信息导出excel文件功能，并与其他系统集成。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将应急值守管理中通知通告信息进行统一管理，与业务系统的数据进行拆分，便于后续的数据分析，并支持对人员信息导出excel文件功能，并与其他系统集成。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将应急值守管理中事件接报信息进行统一管理，与业务系统的数据进行拆分，便于后续的数据分析，并支持对人员信息导出excel文件功能，并与其他系统集成。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将应急值守管理中短信群发信息进行统一管理，与业务系统的数据进行拆分，便于后续的数据分析，并支持对人员信息导出excel文件功能，并与其他系统集成。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将财务管理中项目经费信息进行统一管理，与业务系统的数据进行拆分，便于后续的数据分析，并支持对人员信息导出excel文件功能，并与其他系统集成。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将财务管理中财务报销信息进行统一管理，与业务系统的数据进行拆分，便于后续的数据分析，并支持对人员信息导出excel文件功能，并与其他系统集成。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将财务管理中科室预算信息进行统一管理，与业务系统的数据进行拆分，便于后续的数据分析，并支持对人员信息导出excel文件功能，并与其他系统集成。</w:t>
            </w:r>
          </w:p>
        </w:tc>
      </w:tr>
      <w:tr>
        <w:trPr>
          <w:trHeight w:val="96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将财务管理中财务借支信息进行统一管理，与业务系统的数据进行拆分，便于后续的数据分析，并支持对人员信息导出excel文件功能，并与其他系统集成。</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20" w:firstLineChars="0"/>
        <w:textAlignment w:val="auto"/>
        <w:rPr>
          <w:rFonts w:hint="eastAsia" w:ascii="宋体" w:hAnsi="宋体" w:eastAsia="宋体" w:cs="宋体"/>
          <w:sz w:val="24"/>
          <w:szCs w:val="24"/>
          <w:lang w:val="en-US" w:eastAsia="zh-CN"/>
        </w:rPr>
      </w:pP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供应商所报价格需是含税含部署安装调试的包干价。报价文件格式自拟。</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商务要求</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提供营业执照副本复印件；</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提供公司相关业绩（需提供类似采购产品明细页，金额页和盖章页）；</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提供公司相关资质（如有）；</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技术要求</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报价产品详细技术参数或者技术方案</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售后服务承诺或方案</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w:t>
      </w:r>
    </w:p>
    <w:tbl>
      <w:tblPr>
        <w:tblStyle w:val="9"/>
        <w:tblW w:w="9711"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3"/>
        <w:gridCol w:w="1627"/>
        <w:gridCol w:w="826"/>
        <w:gridCol w:w="6535"/>
      </w:tblGrid>
      <w:tr>
        <w:trPr>
          <w:trHeight w:val="385" w:hRule="atLeast"/>
        </w:trPr>
        <w:tc>
          <w:tcPr>
            <w:tcW w:w="723" w:type="dxa"/>
            <w:noWrap w:val="0"/>
            <w:vAlign w:val="center"/>
          </w:tcPr>
          <w:p>
            <w:pPr>
              <w:spacing w:line="360" w:lineRule="auto"/>
              <w:ind w:firstLine="0" w:firstLineChars="0"/>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序号</w:t>
            </w:r>
          </w:p>
        </w:tc>
        <w:tc>
          <w:tcPr>
            <w:tcW w:w="1627" w:type="dxa"/>
            <w:noWrap w:val="0"/>
            <w:vAlign w:val="center"/>
          </w:tcPr>
          <w:p>
            <w:pPr>
              <w:spacing w:line="360" w:lineRule="auto"/>
              <w:ind w:firstLine="0" w:firstLineChars="0"/>
              <w:jc w:val="center"/>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评审项</w:t>
            </w:r>
          </w:p>
        </w:tc>
        <w:tc>
          <w:tcPr>
            <w:tcW w:w="826" w:type="dxa"/>
            <w:noWrap w:val="0"/>
            <w:vAlign w:val="center"/>
          </w:tcPr>
          <w:p>
            <w:pPr>
              <w:spacing w:line="360" w:lineRule="auto"/>
              <w:ind w:firstLine="0" w:firstLineChars="0"/>
              <w:jc w:val="center"/>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权重</w:t>
            </w:r>
          </w:p>
        </w:tc>
        <w:tc>
          <w:tcPr>
            <w:tcW w:w="6535" w:type="dxa"/>
            <w:noWrap w:val="0"/>
            <w:vAlign w:val="center"/>
          </w:tcPr>
          <w:p>
            <w:pPr>
              <w:spacing w:line="360" w:lineRule="auto"/>
              <w:ind w:left="480" w:firstLine="0" w:firstLineChars="0"/>
              <w:jc w:val="center"/>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评审办法</w:t>
            </w:r>
          </w:p>
        </w:tc>
      </w:tr>
      <w:tr>
        <w:trPr>
          <w:trHeight w:val="406" w:hRule="atLeast"/>
        </w:trPr>
        <w:tc>
          <w:tcPr>
            <w:tcW w:w="723" w:type="dxa"/>
            <w:shd w:val="clear" w:color="auto" w:fill="D7D7D7"/>
            <w:noWrap w:val="0"/>
            <w:vAlign w:val="center"/>
          </w:tcPr>
          <w:p>
            <w:pPr>
              <w:spacing w:line="360" w:lineRule="auto"/>
              <w:ind w:firstLine="0" w:firstLineChars="0"/>
              <w:jc w:val="center"/>
              <w:rPr>
                <w:rFonts w:hint="eastAsia" w:ascii="宋体" w:hAnsi="宋体" w:eastAsia="宋体" w:cs="宋体"/>
                <w:b/>
                <w:bCs/>
                <w:kern w:val="0"/>
                <w:position w:val="-6"/>
                <w:sz w:val="24"/>
                <w:szCs w:val="24"/>
              </w:rPr>
            </w:pPr>
            <w:r>
              <w:rPr>
                <w:rFonts w:hint="eastAsia" w:ascii="宋体" w:hAnsi="宋体" w:eastAsia="宋体" w:cs="宋体"/>
                <w:b/>
                <w:bCs/>
                <w:kern w:val="0"/>
                <w:position w:val="-6"/>
                <w:sz w:val="24"/>
                <w:szCs w:val="24"/>
              </w:rPr>
              <w:t>一</w:t>
            </w:r>
          </w:p>
        </w:tc>
        <w:tc>
          <w:tcPr>
            <w:tcW w:w="8988" w:type="dxa"/>
            <w:gridSpan w:val="3"/>
            <w:shd w:val="clear" w:color="auto" w:fill="D7D7D7"/>
            <w:noWrap w:val="0"/>
            <w:vAlign w:val="center"/>
          </w:tcPr>
          <w:p>
            <w:pPr>
              <w:spacing w:line="360" w:lineRule="auto"/>
              <w:ind w:firstLine="0" w:firstLineChars="0"/>
              <w:jc w:val="center"/>
              <w:rPr>
                <w:rFonts w:hint="eastAsia" w:ascii="宋体" w:hAnsi="宋体" w:eastAsia="宋体" w:cs="宋体"/>
                <w:b/>
                <w:bCs/>
                <w:kern w:val="0"/>
                <w:position w:val="-6"/>
                <w:sz w:val="24"/>
                <w:szCs w:val="24"/>
              </w:rPr>
            </w:pPr>
            <w:r>
              <w:rPr>
                <w:rFonts w:hint="eastAsia" w:ascii="宋体" w:hAnsi="宋体" w:eastAsia="宋体" w:cs="宋体"/>
                <w:b/>
                <w:bCs/>
                <w:kern w:val="0"/>
                <w:position w:val="-6"/>
                <w:sz w:val="24"/>
                <w:szCs w:val="24"/>
              </w:rPr>
              <w:t>报价（</w:t>
            </w:r>
            <w:r>
              <w:rPr>
                <w:rFonts w:hint="eastAsia" w:ascii="宋体" w:hAnsi="宋体" w:eastAsia="宋体" w:cs="宋体"/>
                <w:b/>
                <w:bCs/>
                <w:kern w:val="0"/>
                <w:position w:val="-6"/>
                <w:sz w:val="24"/>
                <w:szCs w:val="24"/>
                <w:lang w:val="en-US" w:eastAsia="zh-CN"/>
              </w:rPr>
              <w:t>50</w:t>
            </w:r>
            <w:r>
              <w:rPr>
                <w:rFonts w:hint="eastAsia" w:ascii="宋体" w:hAnsi="宋体" w:eastAsia="宋体" w:cs="宋体"/>
                <w:b/>
                <w:bCs/>
                <w:kern w:val="0"/>
                <w:position w:val="-6"/>
                <w:sz w:val="24"/>
                <w:szCs w:val="24"/>
              </w:rPr>
              <w:t>分）</w:t>
            </w:r>
          </w:p>
        </w:tc>
      </w:tr>
      <w:tr>
        <w:trPr>
          <w:trHeight w:val="468" w:hRule="atLeast"/>
        </w:trPr>
        <w:tc>
          <w:tcPr>
            <w:tcW w:w="723" w:type="dxa"/>
            <w:noWrap w:val="0"/>
            <w:vAlign w:val="center"/>
          </w:tcPr>
          <w:p>
            <w:pPr>
              <w:spacing w:line="360" w:lineRule="auto"/>
              <w:ind w:firstLine="0" w:firstLineChars="0"/>
              <w:jc w:val="center"/>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1</w:t>
            </w:r>
          </w:p>
        </w:tc>
        <w:tc>
          <w:tcPr>
            <w:tcW w:w="1627" w:type="dxa"/>
            <w:noWrap w:val="0"/>
            <w:vAlign w:val="center"/>
          </w:tcPr>
          <w:p>
            <w:pPr>
              <w:spacing w:line="360" w:lineRule="auto"/>
              <w:ind w:firstLine="0" w:firstLineChars="0"/>
              <w:jc w:val="center"/>
              <w:rPr>
                <w:rFonts w:hint="eastAsia" w:ascii="宋体" w:hAnsi="宋体" w:eastAsia="宋体" w:cs="宋体"/>
                <w:kern w:val="0"/>
                <w:position w:val="-6"/>
                <w:sz w:val="24"/>
                <w:szCs w:val="24"/>
                <w:highlight w:val="none"/>
              </w:rPr>
            </w:pPr>
            <w:r>
              <w:rPr>
                <w:rFonts w:hint="eastAsia" w:ascii="宋体" w:hAnsi="宋体" w:eastAsia="宋体" w:cs="宋体"/>
                <w:kern w:val="0"/>
                <w:position w:val="-6"/>
                <w:sz w:val="24"/>
                <w:szCs w:val="24"/>
                <w:highlight w:val="none"/>
              </w:rPr>
              <w:t>报价</w:t>
            </w:r>
          </w:p>
        </w:tc>
        <w:tc>
          <w:tcPr>
            <w:tcW w:w="826" w:type="dxa"/>
            <w:noWrap w:val="0"/>
            <w:vAlign w:val="center"/>
          </w:tcPr>
          <w:p>
            <w:pPr>
              <w:spacing w:line="360" w:lineRule="auto"/>
              <w:ind w:firstLine="0" w:firstLineChars="0"/>
              <w:jc w:val="center"/>
              <w:rPr>
                <w:rFonts w:hint="eastAsia" w:ascii="宋体" w:hAnsi="宋体" w:eastAsia="宋体" w:cs="宋体"/>
                <w:kern w:val="0"/>
                <w:position w:val="-6"/>
                <w:sz w:val="24"/>
                <w:szCs w:val="24"/>
                <w:highlight w:val="none"/>
              </w:rPr>
            </w:pPr>
            <w:r>
              <w:rPr>
                <w:rFonts w:hint="eastAsia" w:ascii="宋体" w:hAnsi="宋体" w:eastAsia="宋体" w:cs="宋体"/>
                <w:kern w:val="0"/>
                <w:position w:val="-6"/>
                <w:sz w:val="24"/>
                <w:szCs w:val="24"/>
                <w:highlight w:val="none"/>
                <w:lang w:val="en-US" w:eastAsia="zh-CN"/>
              </w:rPr>
              <w:t>5</w:t>
            </w:r>
            <w:r>
              <w:rPr>
                <w:rFonts w:hint="eastAsia" w:ascii="宋体" w:hAnsi="宋体" w:eastAsia="宋体" w:cs="宋体"/>
                <w:kern w:val="0"/>
                <w:position w:val="-6"/>
                <w:sz w:val="24"/>
                <w:szCs w:val="24"/>
                <w:highlight w:val="none"/>
              </w:rPr>
              <w:t>0</w:t>
            </w:r>
          </w:p>
        </w:tc>
        <w:tc>
          <w:tcPr>
            <w:tcW w:w="6535" w:type="dxa"/>
            <w:noWrap w:val="0"/>
            <w:vAlign w:val="center"/>
          </w:tcPr>
          <w:p>
            <w:pPr>
              <w:widowControl/>
              <w:spacing w:line="360" w:lineRule="auto"/>
              <w:ind w:firstLine="0" w:firstLineChars="0"/>
              <w:rPr>
                <w:rFonts w:hint="eastAsia" w:ascii="宋体" w:hAnsi="宋体" w:eastAsia="宋体" w:cs="宋体"/>
                <w:kern w:val="0"/>
                <w:position w:val="-6"/>
                <w:sz w:val="24"/>
                <w:szCs w:val="24"/>
                <w:highlight w:val="none"/>
                <w:lang w:val="zh-CN"/>
              </w:rPr>
            </w:pPr>
            <w:r>
              <w:rPr>
                <w:rFonts w:hint="eastAsia" w:ascii="宋体" w:hAnsi="宋体" w:eastAsia="宋体" w:cs="宋体"/>
                <w:kern w:val="0"/>
                <w:position w:val="-6"/>
                <w:sz w:val="24"/>
                <w:szCs w:val="24"/>
                <w:highlight w:val="none"/>
                <w:lang w:val="zh-CN"/>
              </w:rPr>
              <w:t>1、价格分统一采用低价优先法计算，即满足</w:t>
            </w:r>
            <w:r>
              <w:rPr>
                <w:rFonts w:hint="eastAsia" w:ascii="宋体" w:hAnsi="宋体" w:eastAsia="宋体" w:cs="宋体"/>
                <w:kern w:val="0"/>
                <w:position w:val="-6"/>
                <w:sz w:val="24"/>
                <w:szCs w:val="24"/>
                <w:highlight w:val="none"/>
                <w:lang w:val="en-US" w:eastAsia="zh-CN"/>
              </w:rPr>
              <w:t>比选要求</w:t>
            </w:r>
            <w:r>
              <w:rPr>
                <w:rFonts w:hint="eastAsia" w:ascii="宋体" w:hAnsi="宋体" w:eastAsia="宋体" w:cs="宋体"/>
                <w:kern w:val="0"/>
                <w:position w:val="-6"/>
                <w:sz w:val="24"/>
                <w:szCs w:val="24"/>
                <w:highlight w:val="none"/>
                <w:lang w:val="zh-CN"/>
              </w:rPr>
              <w:t>要求且价格最低的报价为评审基准价，其价格分为满分。其他供应商的价格分统一按照下列公式计算：</w:t>
            </w:r>
          </w:p>
          <w:p>
            <w:pPr>
              <w:widowControl/>
              <w:spacing w:line="360" w:lineRule="auto"/>
              <w:ind w:firstLine="0" w:firstLineChars="0"/>
              <w:rPr>
                <w:rFonts w:hint="eastAsia" w:ascii="宋体" w:hAnsi="宋体" w:eastAsia="宋体" w:cs="宋体"/>
                <w:kern w:val="0"/>
                <w:position w:val="-6"/>
                <w:sz w:val="24"/>
                <w:szCs w:val="24"/>
                <w:highlight w:val="none"/>
              </w:rPr>
            </w:pPr>
            <w:r>
              <w:rPr>
                <w:rFonts w:hint="eastAsia" w:ascii="宋体" w:hAnsi="宋体" w:eastAsia="宋体" w:cs="宋体"/>
                <w:kern w:val="0"/>
                <w:position w:val="-6"/>
                <w:sz w:val="24"/>
                <w:szCs w:val="24"/>
                <w:highlight w:val="none"/>
                <w:lang w:val="en-US" w:eastAsia="zh-CN"/>
              </w:rPr>
              <w:t>比选</w:t>
            </w:r>
            <w:r>
              <w:rPr>
                <w:rFonts w:hint="eastAsia" w:ascii="宋体" w:hAnsi="宋体" w:eastAsia="宋体" w:cs="宋体"/>
                <w:kern w:val="0"/>
                <w:position w:val="-6"/>
                <w:sz w:val="24"/>
                <w:szCs w:val="24"/>
                <w:highlight w:val="none"/>
                <w:lang w:val="zh-CN"/>
              </w:rPr>
              <w:t>报价得分=(评审基准价／</w:t>
            </w:r>
            <w:r>
              <w:rPr>
                <w:rFonts w:hint="eastAsia" w:ascii="宋体" w:hAnsi="宋体" w:eastAsia="宋体" w:cs="宋体"/>
                <w:kern w:val="0"/>
                <w:position w:val="-6"/>
                <w:sz w:val="24"/>
                <w:szCs w:val="24"/>
                <w:highlight w:val="none"/>
                <w:lang w:val="en-US" w:eastAsia="zh-CN"/>
              </w:rPr>
              <w:t>比选</w:t>
            </w:r>
            <w:r>
              <w:rPr>
                <w:rFonts w:hint="eastAsia" w:ascii="宋体" w:hAnsi="宋体" w:eastAsia="宋体" w:cs="宋体"/>
                <w:kern w:val="0"/>
                <w:position w:val="-6"/>
                <w:sz w:val="24"/>
                <w:szCs w:val="24"/>
                <w:highlight w:val="none"/>
                <w:lang w:val="zh-CN"/>
              </w:rPr>
              <w:t>报价)×</w:t>
            </w:r>
            <w:r>
              <w:rPr>
                <w:rFonts w:hint="eastAsia" w:ascii="宋体" w:hAnsi="宋体" w:eastAsia="宋体" w:cs="宋体"/>
                <w:kern w:val="0"/>
                <w:position w:val="-6"/>
                <w:sz w:val="24"/>
                <w:szCs w:val="24"/>
                <w:highlight w:val="none"/>
                <w:lang w:val="en-US" w:eastAsia="zh-CN"/>
              </w:rPr>
              <w:t>1</w:t>
            </w:r>
            <w:r>
              <w:rPr>
                <w:rFonts w:hint="eastAsia" w:ascii="宋体" w:hAnsi="宋体" w:eastAsia="宋体" w:cs="宋体"/>
                <w:kern w:val="0"/>
                <w:position w:val="-6"/>
                <w:sz w:val="24"/>
                <w:szCs w:val="24"/>
                <w:highlight w:val="none"/>
              </w:rPr>
              <w:t>0</w:t>
            </w:r>
            <w:r>
              <w:rPr>
                <w:rFonts w:hint="eastAsia" w:ascii="宋体" w:hAnsi="宋体" w:eastAsia="宋体" w:cs="宋体"/>
                <w:kern w:val="0"/>
                <w:position w:val="-6"/>
                <w:sz w:val="24"/>
                <w:szCs w:val="24"/>
                <w:highlight w:val="none"/>
                <w:lang w:val="zh-CN"/>
              </w:rPr>
              <w:t>，计算分数时四舍五入取小数点后两位。</w:t>
            </w:r>
          </w:p>
        </w:tc>
      </w:tr>
      <w:tr>
        <w:trPr>
          <w:trHeight w:val="493" w:hRule="atLeast"/>
        </w:trPr>
        <w:tc>
          <w:tcPr>
            <w:tcW w:w="723" w:type="dxa"/>
            <w:shd w:val="clear" w:color="auto" w:fill="D7D7D7"/>
            <w:noWrap w:val="0"/>
            <w:vAlign w:val="center"/>
          </w:tcPr>
          <w:p>
            <w:pPr>
              <w:spacing w:line="360" w:lineRule="auto"/>
              <w:ind w:firstLine="0" w:firstLineChars="0"/>
              <w:jc w:val="center"/>
              <w:rPr>
                <w:rFonts w:hint="eastAsia" w:ascii="宋体" w:hAnsi="宋体" w:eastAsia="宋体" w:cs="宋体"/>
                <w:b/>
                <w:bCs/>
                <w:kern w:val="0"/>
                <w:position w:val="-6"/>
                <w:sz w:val="24"/>
                <w:szCs w:val="24"/>
              </w:rPr>
            </w:pPr>
            <w:r>
              <w:rPr>
                <w:rFonts w:hint="eastAsia" w:ascii="宋体" w:hAnsi="宋体" w:eastAsia="宋体" w:cs="宋体"/>
                <w:b/>
                <w:bCs/>
                <w:kern w:val="0"/>
                <w:position w:val="-6"/>
                <w:sz w:val="24"/>
                <w:szCs w:val="24"/>
              </w:rPr>
              <w:t>二</w:t>
            </w:r>
          </w:p>
        </w:tc>
        <w:tc>
          <w:tcPr>
            <w:tcW w:w="8988" w:type="dxa"/>
            <w:gridSpan w:val="3"/>
            <w:shd w:val="clear" w:color="auto" w:fill="D7D7D7"/>
            <w:noWrap w:val="0"/>
            <w:vAlign w:val="center"/>
          </w:tcPr>
          <w:p>
            <w:pPr>
              <w:spacing w:line="360" w:lineRule="auto"/>
              <w:ind w:firstLine="0" w:firstLineChars="0"/>
              <w:jc w:val="center"/>
              <w:rPr>
                <w:rFonts w:hint="eastAsia" w:ascii="宋体" w:hAnsi="宋体" w:eastAsia="宋体" w:cs="宋体"/>
                <w:b/>
                <w:bCs/>
                <w:kern w:val="0"/>
                <w:position w:val="-6"/>
                <w:sz w:val="24"/>
                <w:szCs w:val="24"/>
              </w:rPr>
            </w:pPr>
            <w:r>
              <w:rPr>
                <w:rFonts w:hint="eastAsia" w:ascii="宋体" w:hAnsi="宋体" w:eastAsia="宋体" w:cs="宋体"/>
                <w:b/>
                <w:bCs/>
                <w:kern w:val="0"/>
                <w:position w:val="-6"/>
                <w:sz w:val="24"/>
                <w:szCs w:val="24"/>
              </w:rPr>
              <w:t>商务部分（</w:t>
            </w:r>
            <w:r>
              <w:rPr>
                <w:rFonts w:hint="eastAsia" w:ascii="宋体" w:hAnsi="宋体" w:eastAsia="宋体" w:cs="宋体"/>
                <w:b/>
                <w:bCs/>
                <w:kern w:val="0"/>
                <w:position w:val="-6"/>
                <w:sz w:val="24"/>
                <w:szCs w:val="24"/>
                <w:lang w:val="en-US" w:eastAsia="zh-CN"/>
              </w:rPr>
              <w:t>5</w:t>
            </w:r>
            <w:r>
              <w:rPr>
                <w:rFonts w:hint="eastAsia" w:ascii="宋体" w:hAnsi="宋体" w:eastAsia="宋体" w:cs="宋体"/>
                <w:b/>
                <w:bCs/>
                <w:kern w:val="0"/>
                <w:position w:val="-6"/>
                <w:sz w:val="24"/>
                <w:szCs w:val="24"/>
              </w:rPr>
              <w:t>分）</w:t>
            </w:r>
          </w:p>
        </w:tc>
      </w:tr>
      <w:tr>
        <w:trPr>
          <w:trHeight w:val="90" w:hRule="atLeast"/>
        </w:trPr>
        <w:tc>
          <w:tcPr>
            <w:tcW w:w="723" w:type="dxa"/>
            <w:noWrap w:val="0"/>
            <w:vAlign w:val="center"/>
          </w:tcPr>
          <w:p>
            <w:pPr>
              <w:spacing w:line="360" w:lineRule="auto"/>
              <w:ind w:firstLine="0" w:firstLineChars="0"/>
              <w:jc w:val="center"/>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1</w:t>
            </w:r>
          </w:p>
        </w:tc>
        <w:tc>
          <w:tcPr>
            <w:tcW w:w="1627" w:type="dxa"/>
            <w:noWrap w:val="0"/>
            <w:vAlign w:val="center"/>
          </w:tcPr>
          <w:p>
            <w:pPr>
              <w:spacing w:line="360" w:lineRule="auto"/>
              <w:ind w:firstLine="0" w:firstLineChars="0"/>
              <w:jc w:val="center"/>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类似业绩</w:t>
            </w:r>
          </w:p>
        </w:tc>
        <w:tc>
          <w:tcPr>
            <w:tcW w:w="826" w:type="dxa"/>
            <w:noWrap w:val="0"/>
            <w:vAlign w:val="center"/>
          </w:tcPr>
          <w:p>
            <w:pPr>
              <w:spacing w:line="360" w:lineRule="auto"/>
              <w:ind w:firstLine="0" w:firstLineChars="0"/>
              <w:jc w:val="center"/>
              <w:rPr>
                <w:rFonts w:hint="eastAsia" w:ascii="宋体" w:hAnsi="宋体" w:eastAsia="宋体" w:cs="宋体"/>
                <w:kern w:val="0"/>
                <w:position w:val="-6"/>
                <w:sz w:val="24"/>
                <w:szCs w:val="24"/>
                <w:lang w:val="en-US" w:eastAsia="zh-CN"/>
              </w:rPr>
            </w:pPr>
            <w:r>
              <w:rPr>
                <w:rFonts w:hint="eastAsia" w:ascii="宋体" w:hAnsi="宋体" w:eastAsia="宋体" w:cs="宋体"/>
                <w:kern w:val="0"/>
                <w:position w:val="-6"/>
                <w:sz w:val="24"/>
                <w:szCs w:val="24"/>
                <w:lang w:val="en-US" w:eastAsia="zh-CN"/>
              </w:rPr>
              <w:t>5</w:t>
            </w:r>
          </w:p>
        </w:tc>
        <w:tc>
          <w:tcPr>
            <w:tcW w:w="6535" w:type="dxa"/>
            <w:noWrap w:val="0"/>
            <w:vAlign w:val="center"/>
          </w:tcPr>
          <w:p>
            <w:pPr>
              <w:spacing w:line="360" w:lineRule="auto"/>
              <w:ind w:firstLine="0" w:firstLineChars="0"/>
              <w:jc w:val="left"/>
              <w:rPr>
                <w:rFonts w:hint="eastAsia" w:ascii="宋体" w:hAnsi="宋体" w:eastAsia="宋体" w:cs="宋体"/>
                <w:kern w:val="0"/>
                <w:position w:val="-6"/>
                <w:sz w:val="24"/>
                <w:szCs w:val="24"/>
                <w:highlight w:val="yellow"/>
                <w:lang w:eastAsia="zh-CN"/>
              </w:rPr>
            </w:pPr>
            <w:r>
              <w:rPr>
                <w:rFonts w:hint="eastAsia" w:ascii="宋体" w:hAnsi="宋体" w:eastAsia="宋体" w:cs="宋体"/>
                <w:kern w:val="0"/>
                <w:position w:val="-6"/>
                <w:sz w:val="24"/>
                <w:szCs w:val="24"/>
              </w:rPr>
              <w:t>自202</w:t>
            </w:r>
            <w:r>
              <w:rPr>
                <w:rFonts w:hint="eastAsia" w:ascii="宋体" w:hAnsi="宋体" w:eastAsia="宋体" w:cs="宋体"/>
                <w:kern w:val="0"/>
                <w:position w:val="-6"/>
                <w:sz w:val="24"/>
                <w:szCs w:val="24"/>
                <w:lang w:val="en-US" w:eastAsia="zh-CN"/>
              </w:rPr>
              <w:t>3</w:t>
            </w:r>
            <w:r>
              <w:rPr>
                <w:rFonts w:hint="eastAsia" w:ascii="宋体" w:hAnsi="宋体" w:eastAsia="宋体" w:cs="宋体"/>
                <w:kern w:val="0"/>
                <w:position w:val="-6"/>
                <w:sz w:val="24"/>
                <w:szCs w:val="24"/>
              </w:rPr>
              <w:t>年1月1日至</w:t>
            </w:r>
            <w:r>
              <w:rPr>
                <w:rFonts w:hint="eastAsia" w:ascii="宋体" w:hAnsi="宋体" w:eastAsia="宋体" w:cs="宋体"/>
                <w:kern w:val="0"/>
                <w:position w:val="-6"/>
                <w:sz w:val="24"/>
                <w:szCs w:val="24"/>
                <w:lang w:val="en-US" w:eastAsia="zh-CN"/>
              </w:rPr>
              <w:t>报价</w:t>
            </w:r>
            <w:r>
              <w:rPr>
                <w:rFonts w:hint="eastAsia" w:ascii="宋体" w:hAnsi="宋体" w:eastAsia="宋体" w:cs="宋体"/>
                <w:kern w:val="0"/>
                <w:position w:val="-6"/>
                <w:sz w:val="24"/>
                <w:szCs w:val="24"/>
              </w:rPr>
              <w:t>截止日期前,</w:t>
            </w:r>
            <w:r>
              <w:rPr>
                <w:rFonts w:hint="eastAsia" w:ascii="宋体" w:hAnsi="宋体" w:eastAsia="宋体" w:cs="宋体"/>
                <w:kern w:val="0"/>
                <w:position w:val="-6"/>
                <w:sz w:val="24"/>
                <w:szCs w:val="24"/>
                <w:lang w:val="en-US" w:eastAsia="zh-CN"/>
              </w:rPr>
              <w:t>有1个类似项目的业绩得5分，最高得5分</w:t>
            </w:r>
            <w:r>
              <w:rPr>
                <w:rFonts w:hint="eastAsia" w:ascii="宋体" w:hAnsi="宋体" w:eastAsia="宋体" w:cs="宋体"/>
                <w:kern w:val="0"/>
                <w:position w:val="-6"/>
                <w:sz w:val="24"/>
                <w:szCs w:val="24"/>
              </w:rPr>
              <w:t>。</w:t>
            </w:r>
          </w:p>
          <w:p>
            <w:pPr>
              <w:spacing w:line="360" w:lineRule="auto"/>
              <w:ind w:firstLine="0" w:firstLineChars="0"/>
              <w:jc w:val="left"/>
              <w:rPr>
                <w:rFonts w:hint="eastAsia" w:ascii="宋体" w:hAnsi="宋体" w:eastAsia="宋体" w:cs="宋体"/>
                <w:kern w:val="0"/>
                <w:position w:val="-6"/>
                <w:sz w:val="24"/>
                <w:szCs w:val="24"/>
              </w:rPr>
            </w:pPr>
            <w:r>
              <w:rPr>
                <w:rFonts w:hint="eastAsia" w:ascii="宋体" w:hAnsi="宋体" w:eastAsia="宋体" w:cs="宋体"/>
                <w:bCs/>
                <w:kern w:val="0"/>
                <w:position w:val="-6"/>
                <w:sz w:val="24"/>
                <w:szCs w:val="24"/>
              </w:rPr>
              <w:t>(注：需提供相关合同复印件</w:t>
            </w:r>
            <w:r>
              <w:rPr>
                <w:rFonts w:hint="eastAsia" w:ascii="宋体" w:hAnsi="宋体" w:eastAsia="宋体" w:cs="宋体"/>
                <w:bCs/>
                <w:kern w:val="0"/>
                <w:position w:val="-6"/>
                <w:sz w:val="24"/>
                <w:szCs w:val="24"/>
                <w:lang w:eastAsia="zh-CN"/>
              </w:rPr>
              <w:t>或</w:t>
            </w:r>
            <w:r>
              <w:rPr>
                <w:rFonts w:hint="eastAsia" w:ascii="宋体" w:hAnsi="宋体" w:eastAsia="宋体" w:cs="宋体"/>
                <w:bCs/>
                <w:kern w:val="0"/>
                <w:position w:val="-6"/>
                <w:sz w:val="24"/>
                <w:szCs w:val="24"/>
              </w:rPr>
              <w:t>中标/成交通知书或中标/成交公告（公告需附上网址）加盖供应商公章。</w:t>
            </w:r>
          </w:p>
        </w:tc>
      </w:tr>
      <w:tr>
        <w:trPr>
          <w:trHeight w:val="435" w:hRule="atLeast"/>
        </w:trPr>
        <w:tc>
          <w:tcPr>
            <w:tcW w:w="723" w:type="dxa"/>
            <w:shd w:val="clear" w:color="auto" w:fill="D7D7D7"/>
            <w:noWrap w:val="0"/>
            <w:vAlign w:val="center"/>
          </w:tcPr>
          <w:p>
            <w:pPr>
              <w:spacing w:line="360" w:lineRule="auto"/>
              <w:ind w:firstLine="0" w:firstLineChars="0"/>
              <w:jc w:val="center"/>
              <w:rPr>
                <w:rFonts w:hint="eastAsia" w:ascii="宋体" w:hAnsi="宋体" w:eastAsia="宋体" w:cs="宋体"/>
                <w:b/>
                <w:bCs/>
                <w:kern w:val="0"/>
                <w:position w:val="-6"/>
                <w:sz w:val="24"/>
                <w:szCs w:val="24"/>
              </w:rPr>
            </w:pPr>
            <w:r>
              <w:rPr>
                <w:rFonts w:hint="eastAsia" w:ascii="宋体" w:hAnsi="宋体" w:eastAsia="宋体" w:cs="宋体"/>
                <w:b/>
                <w:bCs/>
                <w:kern w:val="0"/>
                <w:position w:val="-6"/>
                <w:sz w:val="24"/>
                <w:szCs w:val="24"/>
              </w:rPr>
              <w:t>三</w:t>
            </w:r>
          </w:p>
        </w:tc>
        <w:tc>
          <w:tcPr>
            <w:tcW w:w="8988" w:type="dxa"/>
            <w:gridSpan w:val="3"/>
            <w:shd w:val="clear" w:color="auto" w:fill="D7D7D7"/>
            <w:noWrap w:val="0"/>
            <w:vAlign w:val="center"/>
          </w:tcPr>
          <w:p>
            <w:pPr>
              <w:spacing w:line="360" w:lineRule="auto"/>
              <w:ind w:firstLine="0" w:firstLineChars="0"/>
              <w:jc w:val="center"/>
              <w:rPr>
                <w:rFonts w:hint="eastAsia" w:ascii="宋体" w:hAnsi="宋体" w:eastAsia="宋体" w:cs="宋体"/>
                <w:b/>
                <w:bCs/>
                <w:kern w:val="0"/>
                <w:position w:val="-6"/>
                <w:sz w:val="24"/>
                <w:szCs w:val="24"/>
              </w:rPr>
            </w:pPr>
            <w:r>
              <w:rPr>
                <w:rFonts w:hint="eastAsia" w:ascii="宋体" w:hAnsi="宋体" w:eastAsia="宋体" w:cs="宋体"/>
                <w:b/>
                <w:bCs/>
                <w:kern w:val="0"/>
                <w:position w:val="-6"/>
                <w:sz w:val="24"/>
                <w:szCs w:val="24"/>
              </w:rPr>
              <w:t>技术部分（</w:t>
            </w:r>
            <w:r>
              <w:rPr>
                <w:rFonts w:hint="eastAsia" w:ascii="宋体" w:hAnsi="宋体" w:eastAsia="宋体" w:cs="宋体"/>
                <w:b/>
                <w:bCs/>
                <w:kern w:val="0"/>
                <w:position w:val="-6"/>
                <w:sz w:val="24"/>
                <w:szCs w:val="24"/>
                <w:lang w:val="en-US" w:eastAsia="zh-CN"/>
              </w:rPr>
              <w:t>45</w:t>
            </w:r>
            <w:r>
              <w:rPr>
                <w:rFonts w:hint="eastAsia" w:ascii="宋体" w:hAnsi="宋体" w:eastAsia="宋体" w:cs="宋体"/>
                <w:b/>
                <w:bCs/>
                <w:kern w:val="0"/>
                <w:position w:val="-6"/>
                <w:sz w:val="24"/>
                <w:szCs w:val="24"/>
              </w:rPr>
              <w:t>分）</w:t>
            </w:r>
          </w:p>
        </w:tc>
      </w:tr>
      <w:tr>
        <w:trPr>
          <w:trHeight w:val="918" w:hRule="atLeast"/>
        </w:trPr>
        <w:tc>
          <w:tcPr>
            <w:tcW w:w="723" w:type="dxa"/>
            <w:noWrap w:val="0"/>
            <w:vAlign w:val="center"/>
          </w:tcPr>
          <w:p>
            <w:pPr>
              <w:spacing w:line="360" w:lineRule="auto"/>
              <w:ind w:firstLine="0" w:firstLineChars="0"/>
              <w:jc w:val="center"/>
              <w:rPr>
                <w:rFonts w:hint="eastAsia" w:ascii="宋体" w:hAnsi="宋体" w:eastAsia="宋体" w:cs="宋体"/>
                <w:kern w:val="0"/>
                <w:position w:val="-6"/>
                <w:sz w:val="24"/>
                <w:szCs w:val="24"/>
              </w:rPr>
            </w:pPr>
            <w:r>
              <w:rPr>
                <w:rFonts w:hint="eastAsia" w:ascii="宋体" w:hAnsi="宋体" w:eastAsia="宋体" w:cs="宋体"/>
                <w:kern w:val="0"/>
                <w:position w:val="-6"/>
                <w:sz w:val="24"/>
                <w:szCs w:val="24"/>
              </w:rPr>
              <w:t>1</w:t>
            </w:r>
          </w:p>
        </w:tc>
        <w:tc>
          <w:tcPr>
            <w:tcW w:w="1627" w:type="dxa"/>
            <w:noWrap w:val="0"/>
            <w:vAlign w:val="center"/>
          </w:tcPr>
          <w:p>
            <w:pPr>
              <w:widowControl/>
              <w:spacing w:line="360" w:lineRule="auto"/>
              <w:ind w:firstLine="0" w:firstLineChars="0"/>
              <w:jc w:val="center"/>
              <w:rPr>
                <w:rFonts w:hint="eastAsia" w:ascii="宋体" w:hAnsi="宋体" w:eastAsia="宋体" w:cs="宋体"/>
                <w:kern w:val="0"/>
                <w:position w:val="-6"/>
                <w:sz w:val="24"/>
                <w:szCs w:val="24"/>
                <w:lang w:val="en-US" w:eastAsia="zh-CN"/>
              </w:rPr>
            </w:pPr>
            <w:r>
              <w:rPr>
                <w:rFonts w:hint="eastAsia" w:ascii="宋体" w:hAnsi="宋体" w:eastAsia="宋体" w:cs="宋体"/>
                <w:kern w:val="0"/>
                <w:position w:val="-6"/>
                <w:sz w:val="24"/>
                <w:szCs w:val="24"/>
                <w:lang w:val="en-US" w:eastAsia="zh-CN"/>
              </w:rPr>
              <w:t>技术要求</w:t>
            </w:r>
          </w:p>
        </w:tc>
        <w:tc>
          <w:tcPr>
            <w:tcW w:w="826" w:type="dxa"/>
            <w:noWrap w:val="0"/>
            <w:vAlign w:val="center"/>
          </w:tcPr>
          <w:p>
            <w:pPr>
              <w:spacing w:line="360" w:lineRule="auto"/>
              <w:ind w:firstLine="0" w:firstLineChars="0"/>
              <w:jc w:val="center"/>
              <w:rPr>
                <w:rFonts w:hint="default" w:ascii="宋体" w:hAnsi="宋体" w:eastAsia="宋体" w:cs="宋体"/>
                <w:color w:val="auto"/>
                <w:kern w:val="0"/>
                <w:position w:val="-6"/>
                <w:sz w:val="24"/>
                <w:szCs w:val="24"/>
                <w:lang w:val="en-US"/>
              </w:rPr>
            </w:pPr>
            <w:r>
              <w:rPr>
                <w:rFonts w:hint="eastAsia" w:ascii="宋体" w:hAnsi="宋体" w:eastAsia="宋体" w:cs="宋体"/>
                <w:color w:val="auto"/>
                <w:kern w:val="0"/>
                <w:position w:val="-6"/>
                <w:sz w:val="24"/>
                <w:szCs w:val="24"/>
                <w:lang w:val="en-US" w:eastAsia="zh-CN"/>
              </w:rPr>
              <w:t>40</w:t>
            </w:r>
          </w:p>
        </w:tc>
        <w:tc>
          <w:tcPr>
            <w:tcW w:w="6535" w:type="dxa"/>
            <w:noWrap w:val="0"/>
            <w:vAlign w:val="top"/>
          </w:tcPr>
          <w:p>
            <w:pPr>
              <w:numPr>
                <w:ilvl w:val="0"/>
                <w:numId w:val="4"/>
              </w:numPr>
              <w:spacing w:line="360" w:lineRule="auto"/>
              <w:ind w:firstLine="0" w:firstLineChars="0"/>
              <w:rPr>
                <w:rFonts w:hint="eastAsia" w:ascii="宋体" w:hAnsi="宋体" w:eastAsia="宋体" w:cs="宋体"/>
                <w:color w:val="auto"/>
                <w:kern w:val="0"/>
                <w:position w:val="-6"/>
                <w:sz w:val="24"/>
                <w:szCs w:val="24"/>
                <w:lang w:val="en-US" w:eastAsia="zh-CN"/>
              </w:rPr>
            </w:pPr>
            <w:r>
              <w:rPr>
                <w:rFonts w:hint="eastAsia" w:ascii="宋体" w:hAnsi="宋体" w:eastAsia="宋体" w:cs="宋体"/>
                <w:color w:val="auto"/>
                <w:kern w:val="0"/>
                <w:position w:val="-6"/>
                <w:sz w:val="24"/>
                <w:szCs w:val="24"/>
                <w:lang w:val="en-US" w:eastAsia="zh-CN"/>
              </w:rPr>
              <w:t>技术完全响应的得40分；不能完全响应的，每不满足一项扣4分，扣至0分为止。</w:t>
            </w:r>
          </w:p>
        </w:tc>
      </w:tr>
      <w:tr>
        <w:trPr>
          <w:trHeight w:val="918" w:hRule="atLeast"/>
        </w:trPr>
        <w:tc>
          <w:tcPr>
            <w:tcW w:w="723" w:type="dxa"/>
            <w:noWrap w:val="0"/>
            <w:vAlign w:val="center"/>
          </w:tcPr>
          <w:p>
            <w:pPr>
              <w:spacing w:line="360" w:lineRule="auto"/>
              <w:ind w:firstLine="0" w:firstLineChars="0"/>
              <w:jc w:val="center"/>
              <w:rPr>
                <w:rFonts w:hint="eastAsia" w:ascii="宋体" w:hAnsi="宋体" w:eastAsia="宋体" w:cs="宋体"/>
                <w:kern w:val="0"/>
                <w:position w:val="-6"/>
                <w:sz w:val="24"/>
                <w:szCs w:val="24"/>
                <w:lang w:val="en-US" w:eastAsia="zh-CN"/>
              </w:rPr>
            </w:pPr>
            <w:r>
              <w:rPr>
                <w:rFonts w:hint="eastAsia" w:ascii="宋体" w:hAnsi="宋体" w:eastAsia="宋体" w:cs="宋体"/>
                <w:kern w:val="0"/>
                <w:position w:val="-6"/>
                <w:sz w:val="24"/>
                <w:szCs w:val="24"/>
                <w:lang w:val="en-US" w:eastAsia="zh-CN"/>
              </w:rPr>
              <w:t>2</w:t>
            </w:r>
          </w:p>
        </w:tc>
        <w:tc>
          <w:tcPr>
            <w:tcW w:w="1627" w:type="dxa"/>
            <w:noWrap w:val="0"/>
            <w:vAlign w:val="center"/>
          </w:tcPr>
          <w:p>
            <w:pPr>
              <w:widowControl/>
              <w:spacing w:line="360" w:lineRule="auto"/>
              <w:ind w:firstLine="0" w:firstLineChars="0"/>
              <w:jc w:val="center"/>
              <w:rPr>
                <w:rFonts w:hint="eastAsia" w:ascii="宋体" w:hAnsi="宋体" w:eastAsia="宋体" w:cs="宋体"/>
                <w:kern w:val="0"/>
                <w:position w:val="-6"/>
                <w:sz w:val="24"/>
                <w:szCs w:val="24"/>
                <w:lang w:val="en-US" w:eastAsia="zh-CN"/>
              </w:rPr>
            </w:pPr>
            <w:r>
              <w:rPr>
                <w:rFonts w:hint="eastAsia" w:ascii="宋体" w:hAnsi="宋体" w:eastAsia="宋体" w:cs="宋体"/>
                <w:kern w:val="0"/>
                <w:position w:val="-6"/>
                <w:sz w:val="24"/>
                <w:szCs w:val="24"/>
                <w:lang w:val="en-US" w:eastAsia="zh-CN"/>
              </w:rPr>
              <w:t>服务方案</w:t>
            </w:r>
          </w:p>
        </w:tc>
        <w:tc>
          <w:tcPr>
            <w:tcW w:w="826" w:type="dxa"/>
            <w:noWrap w:val="0"/>
            <w:vAlign w:val="center"/>
          </w:tcPr>
          <w:p>
            <w:pPr>
              <w:spacing w:line="360" w:lineRule="auto"/>
              <w:ind w:firstLine="0" w:firstLineChars="0"/>
              <w:jc w:val="center"/>
              <w:rPr>
                <w:rFonts w:hint="eastAsia" w:ascii="宋体" w:hAnsi="宋体" w:eastAsia="宋体" w:cs="宋体"/>
                <w:kern w:val="0"/>
                <w:position w:val="-6"/>
                <w:sz w:val="24"/>
                <w:szCs w:val="24"/>
                <w:lang w:val="en-US" w:eastAsia="zh-CN"/>
              </w:rPr>
            </w:pPr>
            <w:r>
              <w:rPr>
                <w:rFonts w:hint="eastAsia" w:ascii="宋体" w:hAnsi="宋体" w:eastAsia="宋体" w:cs="宋体"/>
                <w:kern w:val="0"/>
                <w:position w:val="-6"/>
                <w:sz w:val="24"/>
                <w:szCs w:val="24"/>
                <w:lang w:val="en-US" w:eastAsia="zh-CN"/>
              </w:rPr>
              <w:t>5</w:t>
            </w:r>
          </w:p>
        </w:tc>
        <w:tc>
          <w:tcPr>
            <w:tcW w:w="6535" w:type="dxa"/>
            <w:noWrap w:val="0"/>
            <w:vAlign w:val="top"/>
          </w:tcPr>
          <w:p>
            <w:pPr>
              <w:spacing w:line="360" w:lineRule="auto"/>
              <w:ind w:firstLine="0" w:firstLineChars="0"/>
              <w:rPr>
                <w:rFonts w:hint="eastAsia" w:ascii="宋体" w:hAnsi="宋体" w:eastAsia="宋体" w:cs="宋体"/>
                <w:kern w:val="0"/>
                <w:position w:val="-6"/>
                <w:sz w:val="24"/>
                <w:szCs w:val="24"/>
                <w:lang w:val="en-US" w:eastAsia="zh-CN"/>
              </w:rPr>
            </w:pPr>
            <w:r>
              <w:rPr>
                <w:rFonts w:hint="eastAsia" w:ascii="宋体" w:hAnsi="宋体" w:eastAsia="宋体" w:cs="宋体"/>
                <w:kern w:val="0"/>
                <w:position w:val="-6"/>
                <w:sz w:val="24"/>
                <w:szCs w:val="24"/>
                <w:highlight w:val="none"/>
                <w:lang w:val="en-US" w:eastAsia="zh-CN"/>
              </w:rPr>
              <w:t>根据供应商针对本项目提供的服务保障方案，内容清楚明了、表述规范、含义准确得5分。内容迷糊，表达不清得3分，不提供不得分。</w:t>
            </w:r>
          </w:p>
        </w:tc>
      </w:tr>
    </w:tbl>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报名时间与地点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报名地点:成都市高新区天晖南街169号ACC中航城市广场A区1301。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position w:val="0"/>
          <w:sz w:val="24"/>
          <w:szCs w:val="24"/>
          <w:highlight w:val="none"/>
          <w:lang w:val="en-US" w:eastAsia="zh-CN" w:bidi="bo-CN"/>
        </w:rPr>
      </w:pPr>
      <w:r>
        <w:rPr>
          <w:rFonts w:hint="eastAsia" w:ascii="宋体" w:hAnsi="宋体" w:eastAsia="宋体" w:cs="宋体"/>
          <w:kern w:val="2"/>
          <w:position w:val="0"/>
          <w:sz w:val="24"/>
          <w:szCs w:val="24"/>
          <w:highlight w:val="none"/>
          <w:lang w:val="en-US" w:eastAsia="zh-CN" w:bidi="bo-CN"/>
        </w:rPr>
        <w:t>报名时间:2026年1月27日到2026年1与29日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采购人联系方式：周女士，13980607301</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供应商报名时</w:t>
      </w:r>
      <w:r>
        <w:rPr>
          <w:rFonts w:hint="eastAsia" w:ascii="宋体" w:hAnsi="宋体" w:eastAsia="宋体" w:cs="宋体"/>
          <w:sz w:val="24"/>
          <w:szCs w:val="24"/>
          <w:highlight w:val="none"/>
        </w:rPr>
        <w:t>，需提供</w:t>
      </w:r>
      <w:r>
        <w:rPr>
          <w:rFonts w:hint="eastAsia" w:ascii="宋体" w:hAnsi="宋体" w:eastAsia="宋体" w:cs="宋体"/>
          <w:sz w:val="24"/>
          <w:szCs w:val="24"/>
          <w:highlight w:val="none"/>
          <w:lang w:val="en-US" w:eastAsia="zh-CN"/>
        </w:rPr>
        <w:t>公司营业执照并</w:t>
      </w:r>
      <w:r>
        <w:rPr>
          <w:rFonts w:hint="eastAsia" w:ascii="宋体" w:hAnsi="宋体" w:eastAsia="宋体" w:cs="宋体"/>
          <w:sz w:val="24"/>
          <w:szCs w:val="24"/>
          <w:highlight w:val="none"/>
        </w:rPr>
        <w:t>加盖供应商鲜章。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八、文件递交截止时间：2026年2月3日10：00，比选文件仅接受电子</w:t>
      </w:r>
    </w:p>
    <w:p>
      <w:pPr>
        <w:pStyle w:val="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版应答材料，</w:t>
      </w:r>
      <w:r>
        <w:rPr>
          <w:rFonts w:hint="eastAsia" w:ascii="宋体" w:hAnsi="宋体" w:eastAsia="宋体" w:cs="宋体"/>
          <w:sz w:val="24"/>
          <w:szCs w:val="24"/>
          <w:highlight w:val="none"/>
          <w:lang w:val="en-US" w:eastAsia="zh-CN"/>
        </w:rPr>
        <w:t>供应商将电子文件在规定时间内送至指定地点。电子文件以U盘形式递交，电子文件</w:t>
      </w:r>
      <w:r>
        <w:rPr>
          <w:rFonts w:hint="eastAsia" w:ascii="宋体" w:hAnsi="宋体" w:eastAsia="宋体" w:cs="宋体"/>
          <w:sz w:val="24"/>
          <w:szCs w:val="24"/>
          <w:lang w:val="en-US" w:eastAsia="zh-CN"/>
        </w:rPr>
        <w:t>包含可编辑的word版和签字盖章后的PDF版</w:t>
      </w:r>
      <w:r>
        <w:rPr>
          <w:rFonts w:hint="eastAsia" w:ascii="宋体" w:hAnsi="宋体" w:eastAsia="宋体" w:cs="宋体"/>
          <w:sz w:val="24"/>
          <w:szCs w:val="24"/>
          <w:highlight w:val="none"/>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采购人在文件递交截止时间后的3个工作日内评审出最终选择供应商，并联系后续合同签订事宜。对于落选的供应商，采购人可以不解释落选原因。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九、项目联系人</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采购人：成都汉博德信息技术有限公司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联系上：周女士</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联系电话：13980607301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邮箱：1598529649@qq.com</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CC"/>
    <w:family w:val="roman"/>
    <w:pitch w:val="default"/>
    <w:sig w:usb0="E0002AE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670F5"/>
    <w:multiLevelType w:val="singleLevel"/>
    <w:tmpl w:val="859670F5"/>
    <w:lvl w:ilvl="0" w:tentative="0">
      <w:start w:val="1"/>
      <w:numFmt w:val="decimal"/>
      <w:suff w:val="nothing"/>
      <w:lvlText w:val="%1、"/>
      <w:lvlJc w:val="left"/>
    </w:lvl>
  </w:abstractNum>
  <w:abstractNum w:abstractNumId="1">
    <w:nsid w:val="B4E76DA8"/>
    <w:multiLevelType w:val="singleLevel"/>
    <w:tmpl w:val="B4E76DA8"/>
    <w:lvl w:ilvl="0" w:tentative="0">
      <w:start w:val="1"/>
      <w:numFmt w:val="decimal"/>
      <w:suff w:val="nothing"/>
      <w:lvlText w:val="%1、"/>
      <w:lvlJc w:val="left"/>
    </w:lvl>
  </w:abstractNum>
  <w:abstractNum w:abstractNumId="2">
    <w:nsid w:val="0A63FA3A"/>
    <w:multiLevelType w:val="singleLevel"/>
    <w:tmpl w:val="0A63FA3A"/>
    <w:lvl w:ilvl="0" w:tentative="0">
      <w:start w:val="2"/>
      <w:numFmt w:val="chineseCounting"/>
      <w:suff w:val="nothing"/>
      <w:lvlText w:val="%1、"/>
      <w:lvlJc w:val="left"/>
      <w:rPr>
        <w:rFonts w:hint="eastAsia"/>
      </w:rPr>
    </w:lvl>
  </w:abstractNum>
  <w:abstractNum w:abstractNumId="3">
    <w:nsid w:val="638F6160"/>
    <w:multiLevelType w:val="singleLevel"/>
    <w:tmpl w:val="638F616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750B1"/>
    <w:rsid w:val="142E3B2B"/>
    <w:rsid w:val="1CCD1BDE"/>
    <w:rsid w:val="1EE5301E"/>
    <w:rsid w:val="2E303650"/>
    <w:rsid w:val="32E95D13"/>
    <w:rsid w:val="35415BB5"/>
    <w:rsid w:val="35976F45"/>
    <w:rsid w:val="6B6750B1"/>
    <w:rsid w:val="6D9A4A5D"/>
    <w:rsid w:val="BE3E1216"/>
    <w:rsid w:val="DFFA3497"/>
    <w:rsid w:val="FB5F2D1F"/>
    <w:rsid w:val="FFFCF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pPr>
      <w:spacing w:after="120" w:afterLines="0"/>
    </w:pPr>
    <w:rPr>
      <w:rFonts w:ascii="Times New Roman" w:cs="Arial Unicode MS"/>
      <w:kern w:val="2"/>
      <w:position w:val="0"/>
      <w:sz w:val="21"/>
      <w:lang w:bidi="bo-CN"/>
    </w:rPr>
  </w:style>
  <w:style w:type="paragraph" w:styleId="4">
    <w:name w:val="Body Text Indent"/>
    <w:basedOn w:val="1"/>
    <w:next w:val="5"/>
    <w:qFormat/>
    <w:uiPriority w:val="0"/>
    <w:pPr>
      <w:ind w:firstLine="630"/>
    </w:pPr>
    <w:rPr>
      <w:sz w:val="32"/>
      <w:szCs w:val="20"/>
    </w:rPr>
  </w:style>
  <w:style w:type="paragraph" w:styleId="5">
    <w:name w:val="envelope return"/>
    <w:basedOn w:val="1"/>
    <w:qFormat/>
    <w:uiPriority w:val="0"/>
    <w:pPr>
      <w:snapToGrid w:val="0"/>
    </w:pPr>
    <w:rPr>
      <w:rFonts w:ascii="Arial" w:hAnsi="Arial"/>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style>
  <w:style w:type="paragraph" w:styleId="8">
    <w:name w:val="Body Text First Indent 2"/>
    <w:basedOn w:val="4"/>
    <w:qFormat/>
    <w:uiPriority w:val="0"/>
    <w:pPr>
      <w:ind w:left="200" w:firstLine="200" w:firstLineChars="200"/>
    </w:pPr>
  </w:style>
  <w:style w:type="character" w:styleId="11">
    <w:name w:val="Hyperlink"/>
    <w:basedOn w:val="10"/>
    <w:qFormat/>
    <w:uiPriority w:val="0"/>
    <w:rPr>
      <w:color w:val="0000FF"/>
      <w:u w:val="single"/>
    </w:rPr>
  </w:style>
  <w:style w:type="paragraph" w:customStyle="1" w:styleId="12">
    <w:name w:val="BodyText"/>
    <w:basedOn w:val="1"/>
    <w:next w:val="1"/>
    <w:qFormat/>
    <w:uiPriority w:val="0"/>
    <w:pPr>
      <w:tabs>
        <w:tab w:val="left" w:pos="7665"/>
      </w:tabs>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8553</Words>
  <Characters>8890</Characters>
  <Lines>0</Lines>
  <Paragraphs>0</Paragraphs>
  <TotalTime>10</TotalTime>
  <ScaleCrop>false</ScaleCrop>
  <LinksUpToDate>false</LinksUpToDate>
  <CharactersWithSpaces>8894</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2026-01-20T02:10:00Z</dcterms:created>
  <dc:creator>又又*</dc:creator>
  <cp:lastModifiedBy>WPS_1479302412</cp:lastModifiedBy>
  <dcterms:modified xsi:type="dcterms:W3CDTF">2026-02-07T15:06:19Z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3E1727ECB9C35DEA6BE486690D2B0381_43</vt:lpwstr>
  </property>
  <property fmtid="{D5CDD505-2E9C-101B-9397-08002B2CF9AE}" pid="4" name="KSOTemplateDocerSaveRecord">
    <vt:lpwstr>eyJoZGlkIjoiMzY5ZTJmZjExNjU4NDhlNmUxMDNhOWE2Yzg3MjA3ZDMiLCJ1c2VySWQiOiI0MzE3NzM4ODgifQ==</vt:lpwstr>
  </property>
</Properties>
</file>